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6664D3">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6664D3">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6664D3">
        <w:rPr>
          <w:rFonts w:ascii="Times New Roman" w:eastAsia="Arial" w:hAnsi="Times New Roman" w:cs="Times New Roman"/>
          <w:b/>
          <w:sz w:val="24"/>
          <w:szCs w:val="24"/>
        </w:rPr>
        <w:t>1</w:t>
      </w:r>
      <w:r w:rsidR="00A57503">
        <w:rPr>
          <w:rFonts w:ascii="Times New Roman" w:eastAsia="Arial" w:hAnsi="Times New Roman" w:cs="Times New Roman"/>
          <w:b/>
          <w:sz w:val="24"/>
          <w:szCs w:val="24"/>
        </w:rPr>
        <w:t>33</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6664D3">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AE7074" w:rsidRDefault="000A169D" w:rsidP="003F27F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A57503">
        <w:rPr>
          <w:rFonts w:ascii="Times New Roman" w:eastAsia="Arial" w:hAnsi="Times New Roman" w:cs="Times New Roman"/>
          <w:b/>
          <w:lang w:val="uk-UA"/>
        </w:rPr>
        <w:t>менеджера з моніторингу та оцінки</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2261EB" w:rsidRPr="002261EB">
        <w:rPr>
          <w:rFonts w:ascii="Times New Roman" w:eastAsia="Arial" w:hAnsi="Times New Roman" w:cs="Times New Roman"/>
          <w:b/>
          <w:sz w:val="24"/>
          <w:szCs w:val="24"/>
        </w:rPr>
        <w:t>2</w:t>
      </w:r>
      <w:r w:rsidR="006664D3">
        <w:rPr>
          <w:rFonts w:ascii="Times New Roman" w:eastAsia="Arial" w:hAnsi="Times New Roman" w:cs="Times New Roman"/>
          <w:b/>
          <w:sz w:val="24"/>
          <w:szCs w:val="24"/>
        </w:rPr>
        <w:t>1</w:t>
      </w:r>
      <w:r w:rsidRPr="00AE7074">
        <w:rPr>
          <w:rFonts w:ascii="Times New Roman" w:eastAsia="Arial" w:hAnsi="Times New Roman" w:cs="Times New Roman"/>
          <w:b/>
          <w:sz w:val="24"/>
          <w:szCs w:val="24"/>
        </w:rPr>
        <w:t xml:space="preserve"> </w:t>
      </w:r>
      <w:r w:rsidR="006664D3">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914641" w:rsidRDefault="003F27F5" w:rsidP="00A57503">
            <w:pPr>
              <w:pStyle w:val="normal"/>
              <w:spacing w:line="240" w:lineRule="auto"/>
              <w:rPr>
                <w:rFonts w:ascii="Times New Roman" w:hAnsi="Times New Roman" w:cs="Times New Roman"/>
                <w:color w:val="000000"/>
                <w:sz w:val="24"/>
                <w:szCs w:val="24"/>
                <w:lang w:val="uk-UA"/>
              </w:rPr>
            </w:pPr>
            <w:r w:rsidRPr="00AE7074">
              <w:rPr>
                <w:rFonts w:ascii="Times New Roman" w:hAnsi="Times New Roman" w:cs="Times New Roman"/>
                <w:color w:val="000000"/>
                <w:sz w:val="24"/>
                <w:szCs w:val="24"/>
                <w:lang w:val="uk-UA"/>
              </w:rPr>
              <w:t xml:space="preserve">Послуги </w:t>
            </w:r>
            <w:r w:rsidR="00A57503">
              <w:rPr>
                <w:rFonts w:ascii="Times New Roman" w:hAnsi="Times New Roman" w:cs="Times New Roman"/>
                <w:color w:val="000000"/>
                <w:sz w:val="24"/>
                <w:szCs w:val="24"/>
                <w:lang w:val="uk-UA"/>
              </w:rPr>
              <w:t>менеджера з моніторингу та оцінки</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6664D3"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6664D3">
        <w:rPr>
          <w:rFonts w:ascii="Times New Roman" w:eastAsia="Arial" w:hAnsi="Times New Roman" w:cs="Times New Roman"/>
          <w:b/>
          <w:bCs/>
          <w:sz w:val="24"/>
          <w:szCs w:val="24"/>
        </w:rPr>
        <w:t>1</w:t>
      </w:r>
      <w:r w:rsidR="00A57503">
        <w:rPr>
          <w:rFonts w:ascii="Times New Roman" w:eastAsia="Arial" w:hAnsi="Times New Roman" w:cs="Times New Roman"/>
          <w:b/>
          <w:bCs/>
          <w:sz w:val="24"/>
          <w:szCs w:val="24"/>
        </w:rPr>
        <w:t>33</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5F326E">
        <w:rPr>
          <w:rFonts w:ascii="Times New Roman" w:eastAsia="Arial" w:hAnsi="Times New Roman" w:cs="Times New Roman"/>
          <w:sz w:val="24"/>
          <w:szCs w:val="24"/>
        </w:rPr>
        <w:t>1</w:t>
      </w:r>
      <w:r w:rsidR="00A57503">
        <w:rPr>
          <w:rFonts w:ascii="Times New Roman" w:eastAsia="Arial" w:hAnsi="Times New Roman" w:cs="Times New Roman"/>
          <w:sz w:val="24"/>
          <w:szCs w:val="24"/>
        </w:rPr>
        <w:t>33</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A34E52">
        <w:rPr>
          <w:rFonts w:ascii="Times New Roman" w:eastAsia="Arial" w:hAnsi="Times New Roman" w:cs="Times New Roman"/>
          <w:b/>
          <w:color w:val="000000"/>
          <w:sz w:val="24"/>
          <w:szCs w:val="24"/>
          <w:u w:val="single"/>
        </w:rPr>
        <w:t>2</w:t>
      </w:r>
      <w:r w:rsidR="005F326E">
        <w:rPr>
          <w:rFonts w:ascii="Times New Roman" w:eastAsia="Arial" w:hAnsi="Times New Roman" w:cs="Times New Roman"/>
          <w:b/>
          <w:color w:val="000000"/>
          <w:sz w:val="24"/>
          <w:szCs w:val="24"/>
          <w:u w:val="single"/>
        </w:rPr>
        <w:t>1</w:t>
      </w:r>
      <w:r w:rsidRPr="00AE7074">
        <w:rPr>
          <w:rFonts w:ascii="Times New Roman" w:eastAsia="Arial" w:hAnsi="Times New Roman" w:cs="Times New Roman"/>
          <w:b/>
          <w:color w:val="000000"/>
          <w:sz w:val="24"/>
          <w:szCs w:val="24"/>
          <w:u w:val="single"/>
        </w:rPr>
        <w:t xml:space="preserve">» </w:t>
      </w:r>
      <w:r w:rsidR="005F326E">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lastRenderedPageBreak/>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A57503" w:rsidRPr="00EC1FA6" w:rsidRDefault="00A57503" w:rsidP="00A57503">
      <w:pPr>
        <w:spacing w:after="0" w:line="240" w:lineRule="auto"/>
        <w:rPr>
          <w:rFonts w:ascii="Times New Roman" w:eastAsia="Arial" w:hAnsi="Times New Roman" w:cs="Times New Roman"/>
          <w:b/>
        </w:rPr>
      </w:pPr>
      <w:r w:rsidRPr="00EC1FA6">
        <w:rPr>
          <w:rFonts w:ascii="Times New Roman" w:eastAsia="Arial" w:hAnsi="Times New Roman" w:cs="Times New Roman"/>
          <w:b/>
        </w:rPr>
        <w:t>Послуги менеджера з моніторингу та оцінки</w:t>
      </w:r>
    </w:p>
    <w:p w:rsidR="00A57503" w:rsidRDefault="00A57503" w:rsidP="00A57503">
      <w:pPr>
        <w:spacing w:after="0" w:line="240" w:lineRule="auto"/>
        <w:rPr>
          <w:rFonts w:ascii="Times New Roman" w:eastAsia="Arial" w:hAnsi="Times New Roman" w:cs="Times New Roman"/>
        </w:rPr>
      </w:pPr>
    </w:p>
    <w:p w:rsidR="00A57503" w:rsidRPr="00A57503" w:rsidRDefault="00A57503" w:rsidP="00A57503">
      <w:pPr>
        <w:spacing w:after="0" w:line="240" w:lineRule="auto"/>
        <w:rPr>
          <w:rFonts w:ascii="Times New Roman" w:eastAsia="Arial" w:hAnsi="Times New Roman" w:cs="Times New Roman"/>
        </w:rPr>
      </w:pP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Завдання менеджера з моніторингу та оцінки:</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підготовка та ведення плану моніторингу </w:t>
      </w:r>
      <w:proofErr w:type="spellStart"/>
      <w:r w:rsidRPr="00A57503">
        <w:rPr>
          <w:rFonts w:ascii="Times New Roman" w:eastAsia="Arial" w:hAnsi="Times New Roman" w:cs="Times New Roman"/>
        </w:rPr>
        <w:t>проєкту</w:t>
      </w:r>
      <w:proofErr w:type="spellEnd"/>
      <w:r w:rsidRPr="00A57503">
        <w:rPr>
          <w:rFonts w:ascii="Times New Roman" w:eastAsia="Arial" w:hAnsi="Times New Roman" w:cs="Times New Roman"/>
        </w:rPr>
        <w:t xml:space="preserve"> відповідно до показників логічної схеми, включаючи інструменти збору даних та графіки моніторингу;</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моніторинг досягнення запланованих </w:t>
      </w:r>
      <w:proofErr w:type="spellStart"/>
      <w:r w:rsidRPr="00A57503">
        <w:rPr>
          <w:rFonts w:ascii="Times New Roman" w:eastAsia="Arial" w:hAnsi="Times New Roman" w:cs="Times New Roman"/>
        </w:rPr>
        <w:t>проєктних</w:t>
      </w:r>
      <w:proofErr w:type="spellEnd"/>
      <w:r w:rsidRPr="00A57503">
        <w:rPr>
          <w:rFonts w:ascii="Times New Roman" w:eastAsia="Arial" w:hAnsi="Times New Roman" w:cs="Times New Roman"/>
        </w:rPr>
        <w:t xml:space="preserve"> індикаторів та підготовка періодичних моніторингових і статистичних звітів;</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проведення та аналіз експертних опитувань, а також опитувань </w:t>
      </w:r>
      <w:proofErr w:type="spellStart"/>
      <w:r w:rsidRPr="00A57503">
        <w:rPr>
          <w:rFonts w:ascii="Times New Roman" w:eastAsia="Arial" w:hAnsi="Times New Roman" w:cs="Times New Roman"/>
        </w:rPr>
        <w:t>бенефіціарів</w:t>
      </w:r>
      <w:proofErr w:type="spellEnd"/>
      <w:r w:rsidRPr="00A57503">
        <w:rPr>
          <w:rFonts w:ascii="Times New Roman" w:eastAsia="Arial" w:hAnsi="Times New Roman" w:cs="Times New Roman"/>
        </w:rPr>
        <w:t xml:space="preserve"> і </w:t>
      </w:r>
      <w:proofErr w:type="spellStart"/>
      <w:r w:rsidRPr="00A57503">
        <w:rPr>
          <w:rFonts w:ascii="Times New Roman" w:eastAsia="Arial" w:hAnsi="Times New Roman" w:cs="Times New Roman"/>
        </w:rPr>
        <w:t>стейкхолдерів</w:t>
      </w:r>
      <w:proofErr w:type="spellEnd"/>
      <w:r w:rsidRPr="00A57503">
        <w:rPr>
          <w:rFonts w:ascii="Times New Roman" w:eastAsia="Arial" w:hAnsi="Times New Roman" w:cs="Times New Roman"/>
        </w:rPr>
        <w:t>;</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ведення та підтримка системи моніторингу досягнення запланованих індикаторів </w:t>
      </w:r>
      <w:proofErr w:type="spellStart"/>
      <w:r w:rsidRPr="00A57503">
        <w:rPr>
          <w:rFonts w:ascii="Times New Roman" w:eastAsia="Arial" w:hAnsi="Times New Roman" w:cs="Times New Roman"/>
        </w:rPr>
        <w:t>проєкту</w:t>
      </w:r>
      <w:proofErr w:type="spellEnd"/>
      <w:r w:rsidRPr="00A57503">
        <w:rPr>
          <w:rFonts w:ascii="Times New Roman" w:eastAsia="Arial" w:hAnsi="Times New Roman" w:cs="Times New Roman"/>
        </w:rPr>
        <w:t>;</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збір, опрацювання, консолідація та аналіз даних щодо реалізації </w:t>
      </w:r>
      <w:proofErr w:type="spellStart"/>
      <w:r w:rsidRPr="00A57503">
        <w:rPr>
          <w:rFonts w:ascii="Times New Roman" w:eastAsia="Arial" w:hAnsi="Times New Roman" w:cs="Times New Roman"/>
        </w:rPr>
        <w:t>проєкту</w:t>
      </w:r>
      <w:proofErr w:type="spellEnd"/>
      <w:r w:rsidRPr="00A57503">
        <w:rPr>
          <w:rFonts w:ascii="Times New Roman" w:eastAsia="Arial" w:hAnsi="Times New Roman" w:cs="Times New Roman"/>
        </w:rPr>
        <w:t>;</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підготовка аналітичних висновків та узагальненої інформації за результатами моніторингу. </w:t>
      </w:r>
    </w:p>
    <w:p w:rsidR="00A57503" w:rsidRPr="00A57503" w:rsidRDefault="00A57503" w:rsidP="00A57503">
      <w:pPr>
        <w:spacing w:after="0" w:line="240" w:lineRule="auto"/>
        <w:rPr>
          <w:rFonts w:ascii="Times New Roman" w:eastAsia="Arial" w:hAnsi="Times New Roman" w:cs="Times New Roman"/>
        </w:rPr>
      </w:pP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Вимоги до надавача послуг:  </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відмінне володіння Microsoft Office, особливо Excel – володіння формулами та діаграмами, </w:t>
      </w:r>
      <w:proofErr w:type="spellStart"/>
      <w:r w:rsidRPr="00A57503">
        <w:rPr>
          <w:rFonts w:ascii="Times New Roman" w:eastAsia="Arial" w:hAnsi="Times New Roman" w:cs="Times New Roman"/>
        </w:rPr>
        <w:t>Google</w:t>
      </w:r>
      <w:proofErr w:type="spellEnd"/>
      <w:r w:rsidRPr="00A57503">
        <w:rPr>
          <w:rFonts w:ascii="Times New Roman" w:eastAsia="Arial" w:hAnsi="Times New Roman" w:cs="Times New Roman"/>
        </w:rPr>
        <w:t xml:space="preserve"> </w:t>
      </w:r>
      <w:proofErr w:type="spellStart"/>
      <w:r w:rsidRPr="00A57503">
        <w:rPr>
          <w:rFonts w:ascii="Times New Roman" w:eastAsia="Arial" w:hAnsi="Times New Roman" w:cs="Times New Roman"/>
        </w:rPr>
        <w:t>Forms</w:t>
      </w:r>
      <w:proofErr w:type="spellEnd"/>
      <w:r w:rsidRPr="00A57503">
        <w:rPr>
          <w:rFonts w:ascii="Times New Roman" w:eastAsia="Arial" w:hAnsi="Times New Roman" w:cs="Times New Roman"/>
        </w:rPr>
        <w:t xml:space="preserve">; </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досвід складання звітності (мова, граматика, аналіз, порівняння тощо);  </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загальні знання у галузях </w:t>
      </w:r>
      <w:proofErr w:type="spellStart"/>
      <w:r w:rsidRPr="00A57503">
        <w:rPr>
          <w:rFonts w:ascii="Times New Roman" w:eastAsia="Arial" w:hAnsi="Times New Roman" w:cs="Times New Roman"/>
        </w:rPr>
        <w:t>проєктного</w:t>
      </w:r>
      <w:proofErr w:type="spellEnd"/>
      <w:r w:rsidRPr="00A57503">
        <w:rPr>
          <w:rFonts w:ascii="Times New Roman" w:eastAsia="Arial" w:hAnsi="Times New Roman" w:cs="Times New Roman"/>
        </w:rPr>
        <w:t xml:space="preserve"> циклу, соціології, соціальної роботи, психології; </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вміння працювати з базами даних, системами моніторингу індикаторів проекту;  </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 знання основ проектної діяльності та проектного менеджменту;  </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знання основ технології успішної реалізації процесу проектів;</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методики та технології оцінки проектів;</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вміння працювати в комп’ютерних програмах обробки даних;</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вміння працювати з базами даних, системами моніторингу індикаторів проекту;</w:t>
      </w:r>
    </w:p>
    <w:p w:rsidR="00A57503" w:rsidRPr="00A57503"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гуманітарні принципи та стандарти Сфери;</w:t>
      </w:r>
    </w:p>
    <w:p w:rsidR="00B45FCB" w:rsidRDefault="00A57503" w:rsidP="00A57503">
      <w:pPr>
        <w:spacing w:after="0" w:line="240" w:lineRule="auto"/>
        <w:rPr>
          <w:rFonts w:ascii="Times New Roman" w:eastAsia="Arial" w:hAnsi="Times New Roman" w:cs="Times New Roman"/>
        </w:rPr>
      </w:pPr>
      <w:r w:rsidRPr="00A57503">
        <w:rPr>
          <w:rFonts w:ascii="Times New Roman" w:eastAsia="Arial" w:hAnsi="Times New Roman" w:cs="Times New Roman"/>
        </w:rPr>
        <w:t>- планування та самоорганізація.</w:t>
      </w:r>
    </w:p>
    <w:p w:rsidR="00A57503" w:rsidRPr="00A57503" w:rsidRDefault="00A57503" w:rsidP="00A57503">
      <w:pPr>
        <w:spacing w:after="0" w:line="240" w:lineRule="auto"/>
        <w:rPr>
          <w:rFonts w:ascii="Times New Roman" w:eastAsia="Arial" w:hAnsi="Times New Roman" w:cs="Times New Roman"/>
          <w:color w:val="000000"/>
          <w:sz w:val="24"/>
          <w:szCs w:val="24"/>
        </w:rPr>
      </w:pP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Період надання послуг – 11,5 місяців (</w:t>
      </w:r>
      <w:r w:rsidR="00B45FCB">
        <w:rPr>
          <w:rFonts w:ascii="Times New Roman" w:eastAsia="Arial" w:hAnsi="Times New Roman" w:cs="Times New Roman"/>
          <w:color w:val="000000"/>
          <w:sz w:val="24"/>
          <w:szCs w:val="24"/>
        </w:rPr>
        <w:t>травень 2026 року – квітень 2027 року</w:t>
      </w:r>
      <w:r w:rsidRPr="005F326E">
        <w:rPr>
          <w:rFonts w:ascii="Times New Roman" w:eastAsia="Arial" w:hAnsi="Times New Roman" w:cs="Times New Roman"/>
          <w:color w:val="000000"/>
          <w:sz w:val="24"/>
          <w:szCs w:val="24"/>
        </w:rPr>
        <w:t>).</w:t>
      </w:r>
    </w:p>
    <w:p w:rsidR="00EC1FA6" w:rsidRPr="00A57503" w:rsidRDefault="00EC1FA6" w:rsidP="00EC1FA6">
      <w:pPr>
        <w:spacing w:after="0" w:line="240" w:lineRule="auto"/>
        <w:rPr>
          <w:rFonts w:ascii="Times New Roman" w:eastAsia="Arial" w:hAnsi="Times New Roman" w:cs="Times New Roman"/>
        </w:rPr>
      </w:pPr>
      <w:r w:rsidRPr="00A57503">
        <w:rPr>
          <w:rFonts w:ascii="Times New Roman" w:eastAsia="Arial" w:hAnsi="Times New Roman" w:cs="Times New Roman"/>
        </w:rPr>
        <w:t xml:space="preserve">Очікувана </w:t>
      </w:r>
      <w:proofErr w:type="spellStart"/>
      <w:r w:rsidRPr="00A57503">
        <w:rPr>
          <w:rFonts w:ascii="Times New Roman" w:eastAsia="Arial" w:hAnsi="Times New Roman" w:cs="Times New Roman"/>
        </w:rPr>
        <w:t>залученість</w:t>
      </w:r>
      <w:proofErr w:type="spellEnd"/>
      <w:r w:rsidRPr="00A57503">
        <w:rPr>
          <w:rFonts w:ascii="Times New Roman" w:eastAsia="Arial" w:hAnsi="Times New Roman" w:cs="Times New Roman"/>
        </w:rPr>
        <w:t xml:space="preserve"> до надання послуг складає 48 годин на місяць.</w:t>
      </w: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02" w:rsidRDefault="00B57302">
      <w:pPr>
        <w:spacing w:after="0" w:line="240" w:lineRule="auto"/>
      </w:pPr>
      <w:r>
        <w:separator/>
      </w:r>
    </w:p>
  </w:endnote>
  <w:endnote w:type="continuationSeparator" w:id="0">
    <w:p w:rsidR="00B57302" w:rsidRDefault="00B57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9D53A7">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EC1FA6">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02" w:rsidRDefault="00B57302">
      <w:pPr>
        <w:spacing w:after="0" w:line="240" w:lineRule="auto"/>
      </w:pPr>
      <w:r>
        <w:separator/>
      </w:r>
    </w:p>
  </w:footnote>
  <w:footnote w:type="continuationSeparator" w:id="0">
    <w:p w:rsidR="00B57302" w:rsidRDefault="00B573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6664D3">
      <w:rPr>
        <w:rFonts w:ascii="Arial" w:eastAsia="Arial" w:hAnsi="Arial" w:cs="Arial"/>
        <w:i/>
        <w:color w:val="000000"/>
        <w:sz w:val="20"/>
        <w:szCs w:val="20"/>
      </w:rPr>
      <w:t>1</w:t>
    </w:r>
    <w:r w:rsidR="00A57503">
      <w:rPr>
        <w:rFonts w:ascii="Arial" w:eastAsia="Arial" w:hAnsi="Arial" w:cs="Arial"/>
        <w:i/>
        <w:color w:val="000000"/>
        <w:sz w:val="20"/>
        <w:szCs w:val="20"/>
      </w:rPr>
      <w:t>33</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A169D"/>
    <w:rsid w:val="000B203A"/>
    <w:rsid w:val="000C3D74"/>
    <w:rsid w:val="000D2FB6"/>
    <w:rsid w:val="000F3AE4"/>
    <w:rsid w:val="00152D91"/>
    <w:rsid w:val="001B159B"/>
    <w:rsid w:val="001B3BAE"/>
    <w:rsid w:val="001D20A1"/>
    <w:rsid w:val="001E0642"/>
    <w:rsid w:val="001E4B70"/>
    <w:rsid w:val="001E71A2"/>
    <w:rsid w:val="002261EB"/>
    <w:rsid w:val="00227C7B"/>
    <w:rsid w:val="0023315E"/>
    <w:rsid w:val="002352AF"/>
    <w:rsid w:val="00262DFE"/>
    <w:rsid w:val="002630D4"/>
    <w:rsid w:val="002B056D"/>
    <w:rsid w:val="002B480B"/>
    <w:rsid w:val="002D2471"/>
    <w:rsid w:val="00315AF3"/>
    <w:rsid w:val="00347F27"/>
    <w:rsid w:val="00352CAA"/>
    <w:rsid w:val="003565D9"/>
    <w:rsid w:val="003759A2"/>
    <w:rsid w:val="00380357"/>
    <w:rsid w:val="0038260D"/>
    <w:rsid w:val="00393216"/>
    <w:rsid w:val="0039392C"/>
    <w:rsid w:val="003A336A"/>
    <w:rsid w:val="003C2DDE"/>
    <w:rsid w:val="003F27F5"/>
    <w:rsid w:val="0044392F"/>
    <w:rsid w:val="00443BB1"/>
    <w:rsid w:val="00453906"/>
    <w:rsid w:val="00471563"/>
    <w:rsid w:val="00474469"/>
    <w:rsid w:val="00476D21"/>
    <w:rsid w:val="004A4970"/>
    <w:rsid w:val="004A7922"/>
    <w:rsid w:val="004C3A17"/>
    <w:rsid w:val="004F7433"/>
    <w:rsid w:val="005172AD"/>
    <w:rsid w:val="005622FA"/>
    <w:rsid w:val="005832F2"/>
    <w:rsid w:val="005938AA"/>
    <w:rsid w:val="005C12E9"/>
    <w:rsid w:val="005D4843"/>
    <w:rsid w:val="005E75FA"/>
    <w:rsid w:val="005F326E"/>
    <w:rsid w:val="00624906"/>
    <w:rsid w:val="0063137E"/>
    <w:rsid w:val="006664D3"/>
    <w:rsid w:val="006A217E"/>
    <w:rsid w:val="006A5BF1"/>
    <w:rsid w:val="006B7DDF"/>
    <w:rsid w:val="006C660C"/>
    <w:rsid w:val="006E22C1"/>
    <w:rsid w:val="006E6861"/>
    <w:rsid w:val="006F6A6B"/>
    <w:rsid w:val="006F6D4C"/>
    <w:rsid w:val="00700CB1"/>
    <w:rsid w:val="00701EAA"/>
    <w:rsid w:val="007059AA"/>
    <w:rsid w:val="00771FE4"/>
    <w:rsid w:val="007852DA"/>
    <w:rsid w:val="00792F97"/>
    <w:rsid w:val="007B29F5"/>
    <w:rsid w:val="007D0478"/>
    <w:rsid w:val="007D127B"/>
    <w:rsid w:val="007E35CD"/>
    <w:rsid w:val="00817DF0"/>
    <w:rsid w:val="00846F03"/>
    <w:rsid w:val="00852AE5"/>
    <w:rsid w:val="00897BF0"/>
    <w:rsid w:val="008C285B"/>
    <w:rsid w:val="008D3A0F"/>
    <w:rsid w:val="008D70F6"/>
    <w:rsid w:val="008D7D17"/>
    <w:rsid w:val="008E6013"/>
    <w:rsid w:val="00914641"/>
    <w:rsid w:val="00943AD4"/>
    <w:rsid w:val="00953A0A"/>
    <w:rsid w:val="00996784"/>
    <w:rsid w:val="009A36E1"/>
    <w:rsid w:val="009B411E"/>
    <w:rsid w:val="009D06FB"/>
    <w:rsid w:val="009D376C"/>
    <w:rsid w:val="009D53A7"/>
    <w:rsid w:val="009D5648"/>
    <w:rsid w:val="00A24EC8"/>
    <w:rsid w:val="00A30250"/>
    <w:rsid w:val="00A34E52"/>
    <w:rsid w:val="00A57503"/>
    <w:rsid w:val="00A77E0C"/>
    <w:rsid w:val="00A91B8E"/>
    <w:rsid w:val="00AC669D"/>
    <w:rsid w:val="00AE5D59"/>
    <w:rsid w:val="00AE7074"/>
    <w:rsid w:val="00AF2BF7"/>
    <w:rsid w:val="00B03C45"/>
    <w:rsid w:val="00B203A9"/>
    <w:rsid w:val="00B2304D"/>
    <w:rsid w:val="00B446F0"/>
    <w:rsid w:val="00B45FCB"/>
    <w:rsid w:val="00B46D96"/>
    <w:rsid w:val="00B513F3"/>
    <w:rsid w:val="00B51D06"/>
    <w:rsid w:val="00B57302"/>
    <w:rsid w:val="00BA514F"/>
    <w:rsid w:val="00BE7126"/>
    <w:rsid w:val="00BF4EE7"/>
    <w:rsid w:val="00C267F8"/>
    <w:rsid w:val="00C3402E"/>
    <w:rsid w:val="00C47E49"/>
    <w:rsid w:val="00C617D5"/>
    <w:rsid w:val="00C632DE"/>
    <w:rsid w:val="00C63AA4"/>
    <w:rsid w:val="00CB28CD"/>
    <w:rsid w:val="00CB52AA"/>
    <w:rsid w:val="00CB6824"/>
    <w:rsid w:val="00CE30D1"/>
    <w:rsid w:val="00D07D1B"/>
    <w:rsid w:val="00D27391"/>
    <w:rsid w:val="00D32DD2"/>
    <w:rsid w:val="00D3546F"/>
    <w:rsid w:val="00D354E9"/>
    <w:rsid w:val="00D64242"/>
    <w:rsid w:val="00D86D73"/>
    <w:rsid w:val="00DC310D"/>
    <w:rsid w:val="00DC619E"/>
    <w:rsid w:val="00DC65B7"/>
    <w:rsid w:val="00DF0B8A"/>
    <w:rsid w:val="00E112A7"/>
    <w:rsid w:val="00E16D3A"/>
    <w:rsid w:val="00E27FC7"/>
    <w:rsid w:val="00E37425"/>
    <w:rsid w:val="00E5203B"/>
    <w:rsid w:val="00E914C3"/>
    <w:rsid w:val="00E92DE2"/>
    <w:rsid w:val="00EC1639"/>
    <w:rsid w:val="00EC1FA6"/>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5</Pages>
  <Words>5014</Words>
  <Characters>2858</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85</cp:revision>
  <cp:lastPrinted>2024-07-29T10:54:00Z</cp:lastPrinted>
  <dcterms:created xsi:type="dcterms:W3CDTF">2022-07-07T08:39:00Z</dcterms:created>
  <dcterms:modified xsi:type="dcterms:W3CDTF">2026-06-09T06:59:00Z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